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226FA3" w:rsidRPr="00226FA3">
        <w:rPr>
          <w:rStyle w:val="Teksttreci2"/>
          <w:rFonts w:cstheme="minorHAnsi"/>
          <w:color w:val="000000"/>
          <w:sz w:val="22"/>
          <w:szCs w:val="22"/>
        </w:rPr>
        <w:t xml:space="preserve">Zasady przeliczania świadczeń 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emerytalnych.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226FA3" w:rsidRPr="00226FA3">
        <w:rPr>
          <w:rStyle w:val="Teksttreci2"/>
          <w:rFonts w:cstheme="minorHAnsi"/>
          <w:color w:val="000000"/>
          <w:sz w:val="22"/>
          <w:szCs w:val="22"/>
        </w:rPr>
        <w:t>Zasady przeliczania świadczeń eme</w:t>
      </w:r>
      <w:r w:rsidR="00971734">
        <w:rPr>
          <w:rStyle w:val="Teksttreci2"/>
          <w:rFonts w:cstheme="minorHAnsi"/>
          <w:color w:val="000000"/>
          <w:sz w:val="22"/>
          <w:szCs w:val="22"/>
        </w:rPr>
        <w:t>r</w:t>
      </w:r>
      <w:bookmarkStart w:id="0" w:name="_GoBack"/>
      <w:bookmarkEnd w:id="0"/>
      <w:r w:rsidR="00226FA3" w:rsidRPr="00226FA3">
        <w:rPr>
          <w:rStyle w:val="Teksttreci2"/>
          <w:rFonts w:cstheme="minorHAnsi"/>
          <w:color w:val="000000"/>
          <w:sz w:val="22"/>
          <w:szCs w:val="22"/>
        </w:rPr>
        <w:t>ytalnych</w:t>
      </w:r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71734"/>
    <w:rsid w:val="009819B1"/>
    <w:rsid w:val="009A09F2"/>
    <w:rsid w:val="00A66ECD"/>
    <w:rsid w:val="00A710ED"/>
    <w:rsid w:val="00AD6314"/>
    <w:rsid w:val="00B3362F"/>
    <w:rsid w:val="00B4033C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2F47-9816-40C2-A06F-DECF5CAF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3</cp:revision>
  <cp:lastPrinted>2021-08-06T07:03:00Z</cp:lastPrinted>
  <dcterms:created xsi:type="dcterms:W3CDTF">2024-07-02T08:56:00Z</dcterms:created>
  <dcterms:modified xsi:type="dcterms:W3CDTF">2024-07-02T10:03:00Z</dcterms:modified>
</cp:coreProperties>
</file>