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A27A2F" w:rsidRPr="00A27A2F">
        <w:rPr>
          <w:color w:val="000000"/>
          <w:sz w:val="20"/>
          <w:szCs w:val="20"/>
        </w:rPr>
        <w:t>Zasady ustalenia prawa do zasiłku</w:t>
      </w:r>
      <w:r w:rsidR="00A27A2F">
        <w:rPr>
          <w:color w:val="000000"/>
          <w:sz w:val="20"/>
          <w:szCs w:val="20"/>
        </w:rPr>
        <w:t xml:space="preserve"> macierzyńskiego i opiekuńczego</w:t>
      </w:r>
      <w:bookmarkStart w:id="0" w:name="_GoBack"/>
      <w:bookmarkEnd w:id="0"/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A27A2F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A27A2F" w:rsidRPr="00A27A2F">
        <w:rPr>
          <w:b/>
          <w:color w:val="000000"/>
          <w:sz w:val="20"/>
          <w:szCs w:val="20"/>
        </w:rPr>
        <w:t>Zasady ustalenia prawa do zasiłku</w:t>
      </w:r>
      <w:r w:rsidR="00A27A2F">
        <w:rPr>
          <w:b/>
          <w:color w:val="000000"/>
          <w:sz w:val="20"/>
          <w:szCs w:val="20"/>
        </w:rPr>
        <w:t xml:space="preserve"> macierzyńskiego i opiekuńczego</w:t>
      </w:r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39" w:rsidRDefault="00ED0539" w:rsidP="00423B51">
      <w:pPr>
        <w:spacing w:after="0" w:line="240" w:lineRule="auto"/>
      </w:pPr>
      <w:r>
        <w:separator/>
      </w:r>
    </w:p>
  </w:endnote>
  <w:endnote w:type="continuationSeparator" w:id="0">
    <w:p w:rsidR="00ED0539" w:rsidRDefault="00ED053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2F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39" w:rsidRDefault="00ED0539" w:rsidP="00423B51">
      <w:pPr>
        <w:spacing w:after="0" w:line="240" w:lineRule="auto"/>
      </w:pPr>
      <w:r>
        <w:separator/>
      </w:r>
    </w:p>
  </w:footnote>
  <w:footnote w:type="continuationSeparator" w:id="0">
    <w:p w:rsidR="00ED0539" w:rsidRDefault="00ED053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535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D582C"/>
    <w:rsid w:val="009E4A3C"/>
    <w:rsid w:val="00A27A2F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E05EC2"/>
    <w:rsid w:val="00E240B8"/>
    <w:rsid w:val="00E26A6C"/>
    <w:rsid w:val="00E74AE5"/>
    <w:rsid w:val="00EC2F93"/>
    <w:rsid w:val="00ED0539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2025-07-04T10:31:00Z</dcterms:created>
  <dcterms:modified xsi:type="dcterms:W3CDTF">2025-07-04T10:31:00Z</dcterms:modified>
</cp:coreProperties>
</file>