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DF04A6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DF04A6">
              <w:rPr>
                <w:rFonts w:ascii="Segoe UI" w:hAnsi="Segoe UI" w:cs="Segoe UI"/>
                <w:sz w:val="24"/>
                <w:szCs w:val="24"/>
                <w:lang w:eastAsia="pl-PL"/>
              </w:rPr>
              <w:t>Rodzaje ulg w spłacie zadłużenia z tytułu nieopłaconych składek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DF04A6">
              <w:rPr>
                <w:b/>
                <w:noProof/>
                <w:lang w:eastAsia="pl-PL"/>
              </w:rPr>
              <w:t>09</w:t>
            </w:r>
            <w:r w:rsidR="0092452B">
              <w:rPr>
                <w:b/>
                <w:noProof/>
                <w:lang w:eastAsia="pl-PL"/>
              </w:rPr>
              <w:t>.04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2025-03-10T08:46:00Z</dcterms:created>
  <dcterms:modified xsi:type="dcterms:W3CDTF">2025-03-10T08:46:00Z</dcterms:modified>
</cp:coreProperties>
</file>