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2508D0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2508D0">
              <w:rPr>
                <w:rFonts w:ascii="Segoe UI" w:hAnsi="Segoe UI" w:cs="Segoe UI"/>
                <w:sz w:val="24"/>
                <w:szCs w:val="24"/>
                <w:lang w:eastAsia="pl-PL"/>
              </w:rPr>
              <w:t>Świadczenia wyrównawcze dla osób z tytułu opieki nad dziećmi, zmiany w przepisach podatkowych oraz funkcjonalność Platformy Usług Elektronicznych, korzyści z bezgotówkowego pobierania świadczeń, m-legitymacja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DA63D5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2508D0">
              <w:rPr>
                <w:b/>
                <w:noProof/>
                <w:lang w:eastAsia="pl-PL"/>
              </w:rPr>
              <w:t>26</w:t>
            </w:r>
            <w:r w:rsidR="00DA63D5">
              <w:rPr>
                <w:b/>
                <w:noProof/>
                <w:lang w:eastAsia="pl-PL"/>
              </w:rPr>
              <w:t>.02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</w:t>
            </w:r>
            <w:bookmarkStart w:id="0" w:name="_GoBack"/>
            <w:bookmarkEnd w:id="0"/>
            <w:r w:rsidR="009C2F78">
              <w:rPr>
                <w:b/>
              </w:rPr>
              <w:t>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11</cp:revision>
  <dcterms:created xsi:type="dcterms:W3CDTF">2024-04-30T05:56:00Z</dcterms:created>
  <dcterms:modified xsi:type="dcterms:W3CDTF">2025-02-04T14:25:00Z</dcterms:modified>
</cp:coreProperties>
</file>