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4F1500DD" w:rsidR="00F446AD" w:rsidRPr="00F26F13" w:rsidRDefault="009D3AB6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9D3AB6">
              <w:rPr>
                <w:sz w:val="22"/>
                <w:szCs w:val="22"/>
              </w:rPr>
              <w:t>Świadczenia długoterminowe w związku niezdolnością do pracy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2D6A380C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9D3AB6">
              <w:rPr>
                <w:b/>
                <w:noProof/>
                <w:lang w:eastAsia="pl-PL"/>
              </w:rPr>
              <w:t>26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</w:t>
            </w:r>
            <w:r w:rsidR="005A6BC9">
              <w:rPr>
                <w:b/>
                <w:noProof/>
                <w:lang w:eastAsia="pl-PL"/>
              </w:rPr>
              <w:t>1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430FE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D3AB6"/>
    <w:rsid w:val="00A52A95"/>
    <w:rsid w:val="00A56B6F"/>
    <w:rsid w:val="00A70F6E"/>
    <w:rsid w:val="00AB0B08"/>
    <w:rsid w:val="00B632ED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2025-10-22T12:21:00Z</dcterms:created>
  <dcterms:modified xsi:type="dcterms:W3CDTF">2025-10-22T12:21:00Z</dcterms:modified>
</cp:coreProperties>
</file>